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165100</wp:posOffset>
                </wp:positionV>
                <wp:extent cx="4381500" cy="11557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57473" y="3205008"/>
                          <a:ext cx="4377055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22255"/>
                                <w:sz w:val="72"/>
                                <w:vertAlign w:val="baseline"/>
                              </w:rPr>
                              <w:t xml:space="preserve">ТЗ по техническому проекту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22255"/>
                                <w:sz w:val="7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165100</wp:posOffset>
                </wp:positionV>
                <wp:extent cx="4381500" cy="11557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0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-431799</wp:posOffset>
                </wp:positionH>
                <wp:positionV relativeFrom="paragraph">
                  <wp:posOffset>215900</wp:posOffset>
                </wp:positionV>
                <wp:extent cx="4597400" cy="11557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047618" y="3200880"/>
                          <a:ext cx="459676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22255"/>
                                <w:sz w:val="32"/>
                                <w:vertAlign w:val="baseline"/>
                              </w:rPr>
                              <w:t xml:space="preserve">Шаблон для ТЗ по техническому проекту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22255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22255"/>
                                <w:sz w:val="32"/>
                                <w:vertAlign w:val="baseline"/>
                              </w:rPr>
                              <w:t xml:space="preserve">19.05.2015г.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-431799</wp:posOffset>
                </wp:positionH>
                <wp:positionV relativeFrom="paragraph">
                  <wp:posOffset>215900</wp:posOffset>
                </wp:positionV>
                <wp:extent cx="4597400" cy="115570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7400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i w:val="0"/>
        </w:rPr>
        <w:sectPr>
          <w:headerReference r:id="rId8" w:type="default"/>
          <w:footerReference r:id="rId9" w:type="default"/>
          <w:pgSz w:h="16840" w:w="11900"/>
          <w:pgMar w:bottom="1701" w:top="2155" w:left="1361" w:right="1361" w:header="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  <w:color w:val="022255"/>
          <w:sz w:val="36"/>
          <w:szCs w:val="36"/>
        </w:rPr>
      </w:pPr>
      <w:r w:rsidDel="00000000" w:rsidR="00000000" w:rsidRPr="00000000">
        <w:rPr>
          <w:i w:val="0"/>
          <w:color w:val="022255"/>
          <w:sz w:val="36"/>
          <w:szCs w:val="36"/>
          <w:rtl w:val="0"/>
        </w:rPr>
        <w:t xml:space="preserve">Содержание 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26"/>
              <w:tab w:val="right" w:pos="8488"/>
            </w:tabs>
            <w:spacing w:after="120" w:before="0" w:line="276" w:lineRule="auto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1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Общие положения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26"/>
              <w:tab w:val="right" w:pos="8488"/>
            </w:tabs>
            <w:spacing w:after="120" w:before="0" w:line="276" w:lineRule="auto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Масштаб работ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488"/>
            </w:tabs>
            <w:spacing w:after="120" w:before="0" w:line="276" w:lineRule="auto"/>
            <w:ind w:left="220" w:firstLine="0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2.1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Определения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488"/>
            </w:tabs>
            <w:spacing w:after="120" w:before="0" w:line="276" w:lineRule="auto"/>
            <w:ind w:left="220" w:firstLine="0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2.2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Общий масштаб работ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488"/>
            </w:tabs>
            <w:spacing w:after="120" w:before="0" w:line="276" w:lineRule="auto"/>
            <w:ind w:left="220" w:firstLine="0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2.3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Детальное описание масштаба работ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8488"/>
            </w:tabs>
            <w:spacing w:after="120" w:before="0" w:line="276" w:lineRule="auto"/>
            <w:ind w:left="440" w:firstLine="0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2.3.1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Разработка окончательного технического проекта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8488"/>
            </w:tabs>
            <w:spacing w:after="120" w:before="0" w:line="276" w:lineRule="auto"/>
            <w:ind w:left="440" w:firstLine="0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2.3.2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Инвестиционные расходы, операционные расходы, экономия энергии, сокращение расходов для суб-проекта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8488"/>
            </w:tabs>
            <w:spacing w:after="120" w:before="0" w:line="276" w:lineRule="auto"/>
            <w:ind w:left="440" w:firstLine="0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2.3.3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Утверждения властей (разрешения)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8488"/>
            </w:tabs>
            <w:spacing w:after="120" w:before="0" w:line="276" w:lineRule="auto"/>
            <w:ind w:left="440" w:firstLine="0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2.3.4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Подготовка тендерной документации по суб-проекту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8488"/>
            </w:tabs>
            <w:spacing w:after="120" w:before="0" w:line="276" w:lineRule="auto"/>
            <w:ind w:left="440" w:firstLine="0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2.3.5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Поддержка во время реализации проекта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26"/>
              <w:tab w:val="right" w:pos="8488"/>
            </w:tabs>
            <w:spacing w:after="120" w:before="0" w:line="276" w:lineRule="auto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3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Отчетность/результаты работы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488"/>
            </w:tabs>
            <w:spacing w:after="120" w:before="0" w:line="276" w:lineRule="auto"/>
            <w:ind w:left="220" w:firstLine="0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3.1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Черновой окончательный проект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488"/>
            </w:tabs>
            <w:spacing w:after="120" w:before="0" w:line="276" w:lineRule="auto"/>
            <w:ind w:left="220" w:firstLine="0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3.2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Документы для получения необходимых утверждений властей (разрешений)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488"/>
            </w:tabs>
            <w:spacing w:after="120" w:before="0" w:line="276" w:lineRule="auto"/>
            <w:ind w:left="220" w:firstLine="0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3.3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Тендерная документация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26"/>
              <w:tab w:val="right" w:pos="8488"/>
            </w:tabs>
            <w:spacing w:after="120" w:before="0" w:line="276" w:lineRule="auto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4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Бюджет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26"/>
              <w:tab w:val="right" w:pos="8488"/>
            </w:tabs>
            <w:spacing w:after="120" w:before="0" w:line="276" w:lineRule="auto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5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Условия оплаты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26"/>
              <w:tab w:val="right" w:pos="8488"/>
            </w:tabs>
            <w:spacing w:after="120" w:before="0" w:line="276" w:lineRule="auto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6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Требования к Поставщику услуг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26"/>
              <w:tab w:val="right" w:pos="8488"/>
            </w:tabs>
            <w:spacing w:after="120" w:before="0" w:line="276" w:lineRule="auto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7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Субподрядные отношения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26"/>
              <w:tab w:val="right" w:pos="8488"/>
            </w:tabs>
            <w:spacing w:after="120" w:before="0" w:line="276" w:lineRule="auto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8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Конфиденциальность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26"/>
              <w:tab w:val="right" w:pos="8488"/>
            </w:tabs>
            <w:spacing w:after="120" w:before="0" w:line="276" w:lineRule="auto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9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Контактные данные</w:t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26"/>
              <w:tab w:val="right" w:pos="8488"/>
            </w:tabs>
            <w:spacing w:after="120" w:before="0" w:line="276" w:lineRule="auto"/>
            <w:contextualSpacing w:val="0"/>
            <w:jc w:val="both"/>
            <w:rPr>
              <w:rFonts w:ascii="Cambria" w:cs="Cambria" w:eastAsia="Cambria" w:hAnsi="Cambria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10</w:t>
          </w:r>
          <w:r w:rsidDel="00000000" w:rsidR="00000000" w:rsidRPr="00000000">
            <w:rPr>
              <w:rFonts w:ascii="Cambria" w:cs="Cambria" w:eastAsia="Cambria" w:hAnsi="Cambria"/>
              <w:b w:val="0"/>
              <w:sz w:val="22"/>
              <w:szCs w:val="22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Приложения</w:t>
            <w:tab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lineRule="auto"/>
        <w:contextualSpacing w:val="0"/>
        <w:rPr>
          <w:i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i w:val="0"/>
          <w:sz w:val="36"/>
          <w:szCs w:val="36"/>
        </w:rPr>
        <w:sectPr>
          <w:type w:val="continuous"/>
          <w:pgSz w:h="16840" w:w="11900"/>
          <w:pgMar w:bottom="1701" w:top="2155" w:left="1361" w:right="1361" w:header="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" w:hanging="432"/>
        <w:contextualSpacing w:val="0"/>
        <w:rPr>
          <w:rFonts w:ascii="Calibri" w:cs="Calibri" w:eastAsia="Calibri" w:hAnsi="Calibri"/>
          <w:b w:val="0"/>
          <w:color w:val="022255"/>
          <w:sz w:val="36"/>
          <w:szCs w:val="36"/>
        </w:rPr>
      </w:pPr>
      <w:r w:rsidDel="00000000" w:rsidR="00000000" w:rsidRPr="00000000">
        <w:rPr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Потребление энергии на отопление помещений в общественных, коммерческих и жилых зданиях составляет более 30 процентов от общего потребления энергии в большинстве стран региона, поскольку существовавшие ранее методы строительства и отопления не уделяли надлежащего внимания энергоэффективности. В результате, крайне неэффективное использование энергии увеличивает удар растущих цен на энергоносители по населению и общественным учреждениям.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Большая часть жилого фонда, особенно в городской местности, состоит из панельных многоэтажных многоквартирных домов, которые обычно имеют низкое качество строительства, изоляции и технического обслуживания, что приводит к низкой энергоэффективности и низкому уровню комфорта проживания. В большинстве своем основанные на советских ГОСТах и СНиПах (Госстандарт и Строительные Нормы и Правила), современные строительные стандарты и практики для общественных/жилых зданий отстают от соответствующих западноевропейских и международных стандартов и фактически не применяются при ремонте старых зданий и строительстве новых. К тому же, многие коммунальные сооружения, такие как районные системы теплоснабжения, системы уличного освещения, и т.п., в плохом техническом состоянии и работают с низкой эффективностью.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Муниципалитет </w:t>
      </w:r>
      <w:r w:rsidDel="00000000" w:rsidR="00000000" w:rsidRPr="00000000">
        <w:rPr>
          <w:rFonts w:ascii="Merriweather" w:cs="Merriweather" w:eastAsia="Merriweather" w:hAnsi="Merriweather"/>
          <w:color w:val="000000"/>
          <w:highlight w:val="lightGray"/>
          <w:rtl w:val="0"/>
        </w:rPr>
        <w:t xml:space="preserve">xx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намеревается реализовать несколько мер по повышению энергоэффективности и/или использованию энергии из возобновляемых источников для того, чтобы снизить энергопотребление в общественных и/или жилых зданиях.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Ожидается, что таковые меры будут разработаны и реализованы в соответствии с проверенными западноевропейскими стандартами и практиками, что обеспечит устойчивость результатов инвестиций.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Проект будет реализован в соответствии с Планами развития местной инфраструктуры или  Планом действий по устойчивому энергетическому развитию, скоординированными с требованиями Соглашения Мэров.</w:t>
      </w:r>
    </w:p>
    <w:p w:rsidR="00000000" w:rsidDel="00000000" w:rsidP="00000000" w:rsidRDefault="00000000" w:rsidRPr="00000000" w14:paraId="0000003B">
      <w:pPr>
        <w:pStyle w:val="Heading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" w:hanging="432"/>
        <w:contextualSpacing w:val="0"/>
        <w:rPr>
          <w:rFonts w:ascii="Calibri" w:cs="Calibri" w:eastAsia="Calibri" w:hAnsi="Calibri"/>
          <w:b w:val="0"/>
          <w:color w:val="022255"/>
          <w:sz w:val="36"/>
          <w:szCs w:val="36"/>
        </w:rPr>
      </w:pPr>
      <w:r w:rsidDel="00000000" w:rsidR="00000000" w:rsidRPr="00000000">
        <w:rPr>
          <w:rtl w:val="0"/>
        </w:rPr>
        <w:t xml:space="preserve">Масштаб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" w:hanging="576"/>
        <w:contextualSpacing w:val="0"/>
        <w:rPr>
          <w:rFonts w:ascii="Calibri" w:cs="Calibri" w:eastAsia="Calibri" w:hAnsi="Calibri"/>
          <w:b w:val="0"/>
          <w:color w:val="022255"/>
          <w:sz w:val="28"/>
          <w:szCs w:val="28"/>
        </w:rPr>
      </w:pPr>
      <w:r w:rsidDel="00000000" w:rsidR="00000000" w:rsidRPr="00000000">
        <w:rPr>
          <w:rtl w:val="0"/>
        </w:rPr>
        <w:t xml:space="preserve">Определения, аббревиатуры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ЭЭ: </w:t>
      </w:r>
      <w:r w:rsidDel="00000000" w:rsidR="00000000" w:rsidRPr="00000000">
        <w:rPr>
          <w:rtl w:val="0"/>
        </w:rPr>
        <w:t xml:space="preserve">Энергоэффективность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ЭЭ меры:</w:t>
      </w:r>
      <w:r w:rsidDel="00000000" w:rsidR="00000000" w:rsidRPr="00000000">
        <w:rPr>
          <w:rtl w:val="0"/>
        </w:rPr>
        <w:t xml:space="preserve"> отдельные и независимые энергоэффективные меры (меры могут планироваться и реализовываться отдельно друг от друга)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Пример ЭЭ меры 1: Теплоизоляция верхнего этажа детсада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Пример ЭЭ меры 2: Установка солнечной тепловой системы на крыше детсада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Суб-проект:</w:t>
      </w:r>
      <w:r w:rsidDel="00000000" w:rsidR="00000000" w:rsidRPr="00000000">
        <w:rPr>
          <w:rtl w:val="0"/>
        </w:rPr>
        <w:t xml:space="preserve"> функциональный комплекс ЭЭ мер, которые обычно реализуются на одной и той же площадке, будет называться суб-проектом.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Пример суб-проекта 1: модернизация государственного детсада, состоящая из теплоизоляции верхнего этажа, замены окон и теплоизоляции внешних стен (функциональный комплекс ЭЭ мер, которые будут реализовываться вместе).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Проект</w:t>
      </w:r>
      <w:r w:rsidDel="00000000" w:rsidR="00000000" w:rsidRPr="00000000">
        <w:rPr>
          <w:rtl w:val="0"/>
        </w:rPr>
        <w:t xml:space="preserve">: проектом называется один суб-проект или несколько суб-проектов.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" w:hanging="576"/>
        <w:contextualSpacing w:val="0"/>
        <w:rPr>
          <w:rFonts w:ascii="Calibri" w:cs="Calibri" w:eastAsia="Calibri" w:hAnsi="Calibri"/>
          <w:b w:val="0"/>
          <w:color w:val="022255"/>
          <w:sz w:val="28"/>
          <w:szCs w:val="28"/>
        </w:rPr>
      </w:pPr>
      <w:r w:rsidDel="00000000" w:rsidR="00000000" w:rsidRPr="00000000">
        <w:rPr>
          <w:rtl w:val="0"/>
        </w:rPr>
        <w:t xml:space="preserve">Общий масштаб работ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Поставщик услуг разработает и представит окончательный проект для следующих ЭЭ мер: 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hanging="426"/>
        <w:contextualSpacing w:val="1"/>
        <w:jc w:val="both"/>
        <w:rPr>
          <w:rFonts w:ascii="Merriweather" w:cs="Merriweather" w:eastAsia="Merriweather" w:hAnsi="Merriweather"/>
          <w:b w:val="1"/>
          <w:color w:val="000000"/>
          <w:sz w:val="22"/>
          <w:szCs w:val="22"/>
          <w:highlight w:val="lightGray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22"/>
          <w:szCs w:val="22"/>
          <w:highlight w:val="lightGray"/>
          <w:rtl w:val="0"/>
        </w:rPr>
        <w:t xml:space="preserve">Термо-модернизация  жилых/общественных зданий в городе …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firstLine="0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firstLine="0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  <w:rtl w:val="0"/>
        </w:rPr>
        <w:t xml:space="preserve">Разработка окончательного проекта по мерам термо-модернизации следующих зданий:</w:t>
      </w:r>
    </w:p>
    <w:tbl>
      <w:tblPr>
        <w:tblStyle w:val="Table1"/>
        <w:tblW w:w="921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1417"/>
        <w:gridCol w:w="7371"/>
        <w:tblGridChange w:id="0">
          <w:tblGrid>
            <w:gridCol w:w="426"/>
            <w:gridCol w:w="1417"/>
            <w:gridCol w:w="7371"/>
          </w:tblGrid>
        </w:tblGridChange>
      </w:tblGrid>
      <w:t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Nova Mono" w:cs="Nova Mono" w:eastAsia="Nova Mono" w:hAnsi="Nova Mono"/>
                <w:sz w:val="18"/>
                <w:szCs w:val="1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Тип здания/адрес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Описание здания (существующая ситуация)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  <w:rtl w:val="0"/>
              </w:rPr>
              <w:t xml:space="preserve">Общественное здание (школа)/xx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  <w:rtl w:val="0"/>
              </w:rPr>
              <w:t xml:space="preserve">Здание, подлежащее термо-модернизации, это школа, состоящая из 2 основных зданий-блоков. 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  <w:rtl w:val="0"/>
              </w:rPr>
              <w:t xml:space="preserve">Здания были построены в две фазы. Более старая часть (блок A) была построена в конце 1940-х годов, а блок Б – в 1987 г. Изначально, школа проектировалась под 1 400 учеников. Школьный комплекс, помимо классов и кабинетов администрации, также включает в себя спортзал, актовый зал и столовую/кухню. Внешние стены не имеют термоизоляции и построены из силикатного кирпича (толщина примерно 50 см). Окна по большей части старые деревянные двойные (2 стекла), в плохом техническом состоянии. Двери были заменены на ПВХ-двери за последние несколько лет, но в плохом техническом состоянии. Система водоотвода дождевых вод у здания либо отсутствует, либо сильно протекает. Оригинальная система вентиляции уже не наработает, качество воздуха в помещении - плохое (есть плесень).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  <w:rtl w:val="0"/>
              </w:rPr>
              <w:t xml:space="preserve">Общий план постройки – см. приложение.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  <w:rtl w:val="0"/>
              </w:rPr>
              <w:t xml:space="preserve">Блок A: Классы; 4 этажа + подвал; плоская крыша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  <w:rtl w:val="0"/>
              </w:rPr>
              <w:t xml:space="preserve">Блок B: Кухня/столовая, спортзал, актовый зал; 3 этажа + подвал; плоская крыша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  <w:rtl w:val="0"/>
              </w:rPr>
              <w:t xml:space="preserve">Общая площадь всех цокольных этажей: 1 250 м²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  <w:rtl w:val="0"/>
              </w:rPr>
              <w:t xml:space="preserve">Общая площадь всех отапливаемых этажей: 5 400 м² 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  <w:rtl w:val="0"/>
              </w:rPr>
              <w:t xml:space="preserve">Площадь подвалов: 1 250 м²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  <w:rtl w:val="0"/>
              </w:rPr>
              <w:t xml:space="preserve">Общее техническое состояние строений - плохое.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Тип ЭЭ мер для реализации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  <w:rtl w:val="0"/>
              </w:rPr>
              <w:t xml:space="preserve">Модернизация плоской крыши (вкл. термоизоляцию), замена окон/дверей, термоизоляция внешних стен, термоизоляция потолка подвала, система отвода дождевой воды, вентиляционная система для классов, спортзала и кухни/столовой, прочие меры по модернизации, необходимые для внедрения ЭЭ мер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  <w:rtl w:val="0"/>
              </w:rPr>
              <w:t xml:space="preserve">….</w:t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  <w:rtl w:val="0"/>
              </w:rPr>
              <w:t xml:space="preserve">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Тип ЭЭ мер для реализации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18"/>
                <w:szCs w:val="18"/>
                <w:highlight w:val="lightGray"/>
                <w:rtl w:val="0"/>
              </w:rPr>
              <w:t xml:space="preserve">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Merriweather" w:cs="Merriweather" w:eastAsia="Merriweather" w:hAnsi="Merriweather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>
          <w:rFonts w:ascii="Merriweather" w:cs="Merriweather" w:eastAsia="Merriweather" w:hAnsi="Merriweather"/>
          <w:b w:val="0"/>
          <w:i w:val="1"/>
          <w:color w:val="000000"/>
          <w:sz w:val="22"/>
          <w:szCs w:val="22"/>
          <w:highlight w:val="lightGray"/>
        </w:rPr>
      </w:pPr>
      <w:r w:rsidDel="00000000" w:rsidR="00000000" w:rsidRPr="00000000"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  <w:rtl w:val="0"/>
        </w:rPr>
        <w:t xml:space="preserve">……</w:t>
      </w:r>
      <w:r w:rsidDel="00000000" w:rsidR="00000000" w:rsidRPr="00000000">
        <w:rPr>
          <w:rFonts w:ascii="Merriweather" w:cs="Merriweather" w:eastAsia="Merriweather" w:hAnsi="Merriweather"/>
          <w:b w:val="0"/>
          <w:i w:val="1"/>
          <w:color w:val="000000"/>
          <w:sz w:val="22"/>
          <w:szCs w:val="22"/>
          <w:highlight w:val="lightGray"/>
          <w:rtl w:val="0"/>
        </w:rPr>
        <w:t xml:space="preserve"> описание должно быть продолжено/адаптировано Командой проекта в соответствии с утвержденным результатом энерго-аудита.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hanging="426"/>
        <w:contextualSpacing w:val="1"/>
        <w:jc w:val="both"/>
        <w:rPr>
          <w:rFonts w:ascii="Merriweather" w:cs="Merriweather" w:eastAsia="Merriweather" w:hAnsi="Merriweather"/>
          <w:b w:val="1"/>
          <w:color w:val="000000"/>
          <w:sz w:val="22"/>
          <w:szCs w:val="22"/>
          <w:highlight w:val="lightGray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22"/>
          <w:szCs w:val="22"/>
          <w:highlight w:val="lightGray"/>
          <w:rtl w:val="0"/>
        </w:rPr>
        <w:t xml:space="preserve">Уличное освещение города xx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hanging="426"/>
        <w:contextualSpacing w:val="0"/>
        <w:jc w:val="both"/>
        <w:rPr>
          <w:rFonts w:ascii="Merriweather" w:cs="Merriweather" w:eastAsia="Merriweather" w:hAnsi="Merriweather"/>
          <w:b w:val="0"/>
          <w:i w:val="1"/>
          <w:color w:val="000000"/>
          <w:sz w:val="22"/>
          <w:szCs w:val="22"/>
          <w:highlight w:val="lightGray"/>
        </w:rPr>
      </w:pPr>
      <w:r w:rsidDel="00000000" w:rsidR="00000000" w:rsidRPr="00000000"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  <w:rtl w:val="0"/>
        </w:rPr>
        <w:t xml:space="preserve">Окончательный проект системы уличного освещения для следующих улиц 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426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426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  <w:rtl w:val="0"/>
        </w:rPr>
        <w:t xml:space="preserve">……</w:t>
      </w:r>
      <w:r w:rsidDel="00000000" w:rsidR="00000000" w:rsidRPr="00000000">
        <w:rPr>
          <w:rFonts w:ascii="Merriweather" w:cs="Merriweather" w:eastAsia="Merriweather" w:hAnsi="Merriweather"/>
          <w:b w:val="0"/>
          <w:i w:val="1"/>
          <w:color w:val="000000"/>
          <w:sz w:val="22"/>
          <w:szCs w:val="22"/>
          <w:highlight w:val="lightGray"/>
          <w:rtl w:val="0"/>
        </w:rPr>
        <w:t xml:space="preserve"> описание должно быть продолжено/адаптировано Командой проекта в соответствии с утвержденным результатом энерго-аудита.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hanging="426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hanging="426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hanging="426"/>
        <w:contextualSpacing w:val="1"/>
        <w:jc w:val="both"/>
        <w:rPr>
          <w:rFonts w:ascii="Merriweather" w:cs="Merriweather" w:eastAsia="Merriweather" w:hAnsi="Merriweather"/>
          <w:b w:val="1"/>
          <w:color w:val="000000"/>
          <w:sz w:val="22"/>
          <w:szCs w:val="22"/>
          <w:highlight w:val="lightGray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22"/>
          <w:szCs w:val="22"/>
          <w:highlight w:val="lightGray"/>
          <w:rtl w:val="0"/>
        </w:rPr>
        <w:t xml:space="preserve">Районная система ко-генерации тепла и электроэнергии (ТЭС) города xx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  <w:rtl w:val="0"/>
        </w:rPr>
        <w:t xml:space="preserve">Окончательный проект по районной системе отопления и электрогенерации, системе труб теплотрассы района, ситуация с потребителями тепла и электричества, а также цепочка поставок топлива. Также должен быть сделан технический проект по подаче излишков электричества в общую сеть.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426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426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  <w:rtl w:val="0"/>
        </w:rPr>
        <w:t xml:space="preserve">……</w:t>
      </w:r>
      <w:r w:rsidDel="00000000" w:rsidR="00000000" w:rsidRPr="00000000">
        <w:rPr>
          <w:rFonts w:ascii="Merriweather" w:cs="Merriweather" w:eastAsia="Merriweather" w:hAnsi="Merriweather"/>
          <w:b w:val="0"/>
          <w:i w:val="1"/>
          <w:color w:val="000000"/>
          <w:sz w:val="22"/>
          <w:szCs w:val="22"/>
          <w:highlight w:val="lightGray"/>
          <w:rtl w:val="0"/>
        </w:rPr>
        <w:t xml:space="preserve"> описание должно быть продолжено/адаптировано Командой проекта в соответствии с утвержденным результатом энерго-аудита.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hanging="426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hanging="426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rFonts w:ascii="Merriweather" w:cs="Merriweather" w:eastAsia="Merriweather" w:hAnsi="Merriweather"/>
          <w:b w:val="1"/>
          <w:color w:val="000000"/>
          <w:sz w:val="22"/>
          <w:szCs w:val="22"/>
          <w:highlight w:val="lightGray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22"/>
          <w:szCs w:val="22"/>
          <w:highlight w:val="lightGray"/>
          <w:rtl w:val="0"/>
        </w:rPr>
        <w:t xml:space="preserve">Обеспечение зданий xx в городе xx горячей водой для бытовых нужд из возобновляемых источников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  <w:rtl w:val="0"/>
        </w:rPr>
        <w:t xml:space="preserve">Окончательный проект нагрева воды для бытовых нужд при помощи солнечной водонагревающей системы для обеспечения домов xx горячей водой….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426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  <w:rtl w:val="0"/>
        </w:rPr>
        <w:t xml:space="preserve">……</w:t>
      </w:r>
      <w:r w:rsidDel="00000000" w:rsidR="00000000" w:rsidRPr="00000000">
        <w:rPr>
          <w:rFonts w:ascii="Merriweather" w:cs="Merriweather" w:eastAsia="Merriweather" w:hAnsi="Merriweather"/>
          <w:b w:val="0"/>
          <w:i w:val="1"/>
          <w:color w:val="000000"/>
          <w:sz w:val="22"/>
          <w:szCs w:val="22"/>
          <w:highlight w:val="lightGray"/>
          <w:rtl w:val="0"/>
        </w:rPr>
        <w:t xml:space="preserve"> описание должно быть продолжено/адаптировано Командой проекта в соответствии с утвержденным результатом энерго-аудита.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hanging="426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hanging="426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hanging="426"/>
        <w:contextualSpacing w:val="1"/>
        <w:jc w:val="both"/>
        <w:rPr>
          <w:rFonts w:ascii="Merriweather" w:cs="Merriweather" w:eastAsia="Merriweather" w:hAnsi="Merriweather"/>
          <w:b w:val="1"/>
          <w:color w:val="000000"/>
          <w:sz w:val="22"/>
          <w:szCs w:val="22"/>
          <w:highlight w:val="lightGray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22"/>
          <w:szCs w:val="22"/>
          <w:highlight w:val="lightGray"/>
          <w:rtl w:val="0"/>
        </w:rPr>
        <w:t xml:space="preserve">Обеспечение зданий xx в городе xx теплом из возобновляемых источников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>
          <w:rFonts w:ascii="Merriweather" w:cs="Merriweather" w:eastAsia="Merriweather" w:hAnsi="Merriweather"/>
          <w:b w:val="0"/>
          <w:i w:val="1"/>
          <w:color w:val="000000"/>
          <w:sz w:val="22"/>
          <w:szCs w:val="22"/>
          <w:highlight w:val="lightGray"/>
        </w:rPr>
      </w:pPr>
      <w:r w:rsidDel="00000000" w:rsidR="00000000" w:rsidRPr="00000000"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  <w:rtl w:val="0"/>
        </w:rPr>
        <w:t xml:space="preserve">Окончательный проект отопления при помощи системы тепловых насосов для обеспечения домов xx тепловой энергией……</w:t>
      </w:r>
      <w:r w:rsidDel="00000000" w:rsidR="00000000" w:rsidRPr="00000000">
        <w:rPr>
          <w:rFonts w:ascii="Merriweather" w:cs="Merriweather" w:eastAsia="Merriweather" w:hAnsi="Merriweather"/>
          <w:b w:val="0"/>
          <w:i w:val="1"/>
          <w:color w:val="000000"/>
          <w:sz w:val="22"/>
          <w:szCs w:val="22"/>
          <w:highlight w:val="lightGray"/>
          <w:rtl w:val="0"/>
        </w:rPr>
        <w:t xml:space="preserve"> 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>
          <w:rFonts w:ascii="Merriweather" w:cs="Merriweather" w:eastAsia="Merriweather" w:hAnsi="Merriweather"/>
          <w:b w:val="0"/>
          <w:i w:val="1"/>
          <w:color w:val="000000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426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  <w:rtl w:val="0"/>
        </w:rPr>
        <w:t xml:space="preserve">……</w:t>
      </w:r>
      <w:r w:rsidDel="00000000" w:rsidR="00000000" w:rsidRPr="00000000">
        <w:rPr>
          <w:rFonts w:ascii="Merriweather" w:cs="Merriweather" w:eastAsia="Merriweather" w:hAnsi="Merriweather"/>
          <w:b w:val="0"/>
          <w:i w:val="1"/>
          <w:color w:val="000000"/>
          <w:sz w:val="22"/>
          <w:szCs w:val="22"/>
          <w:highlight w:val="lightGray"/>
          <w:rtl w:val="0"/>
        </w:rPr>
        <w:t xml:space="preserve"> описание должно быть продолжено/адаптировано Командой проекта в соответствии с утвержденным результатом энерго-аудита.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426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426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hanging="426"/>
        <w:contextualSpacing w:val="1"/>
        <w:jc w:val="both"/>
        <w:rPr>
          <w:rFonts w:ascii="Merriweather" w:cs="Merriweather" w:eastAsia="Merriweather" w:hAnsi="Merriweather"/>
          <w:b w:val="1"/>
          <w:color w:val="000000"/>
          <w:sz w:val="22"/>
          <w:szCs w:val="22"/>
          <w:highlight w:val="lightGray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22"/>
          <w:szCs w:val="22"/>
          <w:highlight w:val="lightGray"/>
          <w:rtl w:val="0"/>
        </w:rPr>
        <w:t xml:space="preserve">Обеспечение зданий xx в городе xx электроэнергией из возобновляемых источников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>
          <w:rFonts w:ascii="Merriweather" w:cs="Merriweather" w:eastAsia="Merriweather" w:hAnsi="Merriweather"/>
          <w:b w:val="0"/>
          <w:i w:val="1"/>
          <w:color w:val="000000"/>
          <w:sz w:val="22"/>
          <w:szCs w:val="22"/>
          <w:highlight w:val="lightGray"/>
        </w:rPr>
      </w:pPr>
      <w:r w:rsidDel="00000000" w:rsidR="00000000" w:rsidRPr="00000000"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  <w:rtl w:val="0"/>
        </w:rPr>
        <w:t xml:space="preserve">Окончательный проект получения электроэнергии при помощи фотоэлектрической системы (ФЭ) для обеспечения домов xx и подачи излишков электроэнергии в общую сеть….</w:t>
      </w:r>
      <w:r w:rsidDel="00000000" w:rsidR="00000000" w:rsidRPr="00000000">
        <w:rPr>
          <w:rFonts w:ascii="Merriweather" w:cs="Merriweather" w:eastAsia="Merriweather" w:hAnsi="Merriweather"/>
          <w:b w:val="0"/>
          <w:i w:val="1"/>
          <w:color w:val="000000"/>
          <w:sz w:val="22"/>
          <w:szCs w:val="22"/>
          <w:highlight w:val="lightGray"/>
          <w:rtl w:val="0"/>
        </w:rPr>
        <w:t xml:space="preserve">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>
          <w:rFonts w:ascii="Merriweather" w:cs="Merriweather" w:eastAsia="Merriweather" w:hAnsi="Merriweather"/>
          <w:b w:val="0"/>
          <w:i w:val="1"/>
          <w:color w:val="000000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firstLine="0"/>
        <w:contextualSpacing w:val="0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  <w:rtl w:val="0"/>
        </w:rPr>
        <w:t xml:space="preserve">……</w:t>
      </w:r>
      <w:r w:rsidDel="00000000" w:rsidR="00000000" w:rsidRPr="00000000">
        <w:rPr>
          <w:rFonts w:ascii="Merriweather" w:cs="Merriweather" w:eastAsia="Merriweather" w:hAnsi="Merriweather"/>
          <w:b w:val="0"/>
          <w:i w:val="1"/>
          <w:color w:val="000000"/>
          <w:sz w:val="22"/>
          <w:szCs w:val="22"/>
          <w:highlight w:val="lightGray"/>
          <w:rtl w:val="0"/>
        </w:rPr>
        <w:t xml:space="preserve"> описание должно быть продолжено/адаптировано Командой проекта в соответствии с утвержденным результатом энерго-аудита.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Merriweather" w:cs="Merriweather" w:eastAsia="Merriweather" w:hAnsi="Merriweather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26" w:hanging="426"/>
        <w:contextualSpacing w:val="1"/>
        <w:jc w:val="both"/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</w:rPr>
      </w:pPr>
      <w:r w:rsidDel="00000000" w:rsidR="00000000" w:rsidRPr="00000000">
        <w:rPr>
          <w:rFonts w:ascii="Merriweather" w:cs="Merriweather" w:eastAsia="Merriweather" w:hAnsi="Merriweather"/>
          <w:b w:val="0"/>
          <w:color w:val="000000"/>
          <w:sz w:val="22"/>
          <w:szCs w:val="22"/>
          <w:highlight w:val="lightGray"/>
          <w:rtl w:val="0"/>
        </w:rPr>
        <w:t xml:space="preserve">…..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Масштаб работ включает разработку окончательного технического проекта, расчёты инвестиционных/операционных затрат, подготовку всех документов, необходимых для получения всех требующихся разрешений, получение всех государственных утверждений (разрешений), разработку окончательной тендерной документации и оказание поддержки муниципалитету во время реализации проекта. 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Поставщик услуг будет разрабатывать все документы в тесном сотрудничестве с муниципалитетом  и/или делегированной им Командой проекта.  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Окончательный проект ЭЭ мер должен учитывать западноевропейские стандарты и практики для обеспечения устойчивости мер. Проекты по термо-модернизации должны уделить особое внимание западноевропейским стандартам энергоэффективности для материалов и утверждённым монтажным практикам. Техническое руководство, которое будет предоставлено муниципалитетом, также должно учитываться при разработке окончательного проекта ЭЭ мер.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2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" w:hanging="576"/>
        <w:contextualSpacing w:val="0"/>
        <w:rPr>
          <w:rFonts w:ascii="Calibri" w:cs="Calibri" w:eastAsia="Calibri" w:hAnsi="Calibri"/>
          <w:b w:val="0"/>
          <w:color w:val="022255"/>
          <w:sz w:val="28"/>
          <w:szCs w:val="28"/>
        </w:rPr>
      </w:pPr>
      <w:r w:rsidDel="00000000" w:rsidR="00000000" w:rsidRPr="00000000">
        <w:rPr>
          <w:rtl w:val="0"/>
        </w:rPr>
        <w:t xml:space="preserve">Детальное описание масштаба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3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>
          <w:rFonts w:ascii="Calibri" w:cs="Calibri" w:eastAsia="Calibri" w:hAnsi="Calibri"/>
          <w:b w:val="0"/>
          <w:i w:val="1"/>
          <w:color w:val="022255"/>
          <w:sz w:val="24"/>
          <w:szCs w:val="24"/>
        </w:rPr>
      </w:pPr>
      <w:r w:rsidDel="00000000" w:rsidR="00000000" w:rsidRPr="00000000">
        <w:rPr>
          <w:rtl w:val="0"/>
        </w:rPr>
        <w:t xml:space="preserve">Разработка окончательного технического проекта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Поставщик услуг во время разработки окончательного проекта должен сделать следующее:</w:t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Изучить все имеющиеся документы по проекту (напр. Отчет по энергоаудиту, техническое руководство, проч.).</w:t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Изучить текущее положение дел (посетить объект, провести измерения, фото-фиксацию, рассмотреть технические сложности, т.п.).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Разработать критерии оценки качества и продуктивности для суб-проектов (напр. общий U-коэффициент теплопроводности окон, стен, крыши, тепловой комфорт, качество воздуха в помещении, КПД котла, т.п.). Эти критерии должны быть обговорены с муниципалитетом и/или делегированной им Командой проекта и утверждены ним/ней.</w:t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Изучить требуемые утверждения и разрешения властей для каждой из отобранных ЭЭ мер.  </w:t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Изучить регуляторные требования по каждой из выбранных ЭЭ мер (напр. пожарная безопасность, доступность для лиц с ограниченными возможностями, молниезащита, требования к вентиляции, т.п.).</w:t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Координировать действия с другими потенциальными проектами, реализация которых запланирована третьими сторонами в том же здании или на том же строительном объекте.</w:t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Разработать черновой окончательный технический проект. Поставщик услуг должен разработать всю техническую документацию, которая требуется для реализации суб-проекта (технические чертежи, расчёты, черновой документ по техническим характеристикам, т.п.). Черновой окончательный проект должен быть разработан в тесном сотрудничестве с муниципалитетом и делегированной им Командой проекта. </w:t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Разработать/запросить экспертные мнения и исследования, требуемые для получения разрешений властей или требуемые для реализации проекта (напр. мнение инженера-конструктора о структуре здания, исследование почвы, т.п.).</w:t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Координировать действия с компаниями-субподрядчиками Поставщика услуг.</w:t>
      </w:r>
    </w:p>
    <w:p w:rsidR="00000000" w:rsidDel="00000000" w:rsidP="00000000" w:rsidRDefault="00000000" w:rsidRPr="00000000" w14:paraId="0000009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Составить детальный план реализации проекта совместно с муниципалитетом  и делегированной им Командой проекта. </w:t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Презентовать и обсудить черновой окончательный технический проект с муниципалитетом  и делегированной им Командой проекта. Черновой окончательный технический проект должен быть утверждён муниципалитетом. </w:t>
      </w:r>
    </w:p>
    <w:p w:rsidR="00000000" w:rsidDel="00000000" w:rsidP="00000000" w:rsidRDefault="00000000" w:rsidRPr="00000000" w14:paraId="00000097">
      <w:pPr>
        <w:pStyle w:val="Heading3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>
          <w:rFonts w:ascii="Calibri" w:cs="Calibri" w:eastAsia="Calibri" w:hAnsi="Calibri"/>
          <w:b w:val="0"/>
          <w:i w:val="1"/>
          <w:color w:val="022255"/>
          <w:sz w:val="24"/>
          <w:szCs w:val="24"/>
        </w:rPr>
      </w:pPr>
      <w:r w:rsidDel="00000000" w:rsidR="00000000" w:rsidRPr="00000000">
        <w:rPr>
          <w:rtl w:val="0"/>
        </w:rPr>
        <w:t xml:space="preserve">Инвестиционные расходы, операционные расходы, экономия энергии, сокращение расходов для суб-проекта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Поставщик услуг проведет расчет инвестиционных и операционных расходов (энергопотребление, техобслуживание, т.п.) основываясь на черновом окончательном проекте мер. </w:t>
      </w:r>
      <w:r w:rsidDel="00000000" w:rsidR="00000000" w:rsidRPr="00000000">
        <w:rPr>
          <w:u w:val="single"/>
          <w:rtl w:val="0"/>
        </w:rPr>
        <w:t xml:space="preserve">Точность оценки затрат должна быть в пределах +/- 15% от фактических затрат</w:t>
      </w:r>
      <w:r w:rsidDel="00000000" w:rsidR="00000000" w:rsidRPr="00000000">
        <w:rPr>
          <w:rtl w:val="0"/>
        </w:rPr>
        <w:t xml:space="preserve">. Поставщик услуг также должен предоставить основные данные для расчета ожидаемой ежегодной экономии электроэнергии и сокращения расходов муниципалитету и/или делегированной им Команде проекта.</w:t>
      </w:r>
    </w:p>
    <w:p w:rsidR="00000000" w:rsidDel="00000000" w:rsidP="00000000" w:rsidRDefault="00000000" w:rsidRPr="00000000" w14:paraId="00000099">
      <w:pPr>
        <w:pStyle w:val="Heading3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>
          <w:rFonts w:ascii="Calibri" w:cs="Calibri" w:eastAsia="Calibri" w:hAnsi="Calibri"/>
          <w:b w:val="0"/>
          <w:i w:val="1"/>
          <w:color w:val="022255"/>
          <w:sz w:val="24"/>
          <w:szCs w:val="24"/>
        </w:rPr>
      </w:pPr>
      <w:r w:rsidDel="00000000" w:rsidR="00000000" w:rsidRPr="00000000">
        <w:rPr>
          <w:rtl w:val="0"/>
        </w:rPr>
        <w:t xml:space="preserve">Утверждения властей (разрешения)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Поставщик услуг должен сделать следующее:</w:t>
      </w:r>
    </w:p>
    <w:p w:rsidR="00000000" w:rsidDel="00000000" w:rsidP="00000000" w:rsidRDefault="00000000" w:rsidRPr="00000000" w14:paraId="0000009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Презентовать запланированный проект всем соответствующим властям для получения предварительных комментариев.</w:t>
      </w:r>
    </w:p>
    <w:p w:rsidR="00000000" w:rsidDel="00000000" w:rsidP="00000000" w:rsidRDefault="00000000" w:rsidRPr="00000000" w14:paraId="0000009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Разработать всю требуемую проектную документацию (описания, чертежи, расчеты, экспертные мнения, т.п.) для получения всех необходимых утверждений и разрешений.</w:t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Подать проектную документацию в соответствующие органы (вкл. подготовку требуемых копий проектной документации).</w:t>
      </w:r>
    </w:p>
    <w:p w:rsidR="00000000" w:rsidDel="00000000" w:rsidP="00000000" w:rsidRDefault="00000000" w:rsidRPr="00000000" w14:paraId="0000009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Оказывать поддержку муниципалитету во время процедуры получения разрешений властей (участие во встречах, координирование действий между властями и муниципалитетом, т.п.).</w:t>
      </w:r>
    </w:p>
    <w:p w:rsidR="00000000" w:rsidDel="00000000" w:rsidP="00000000" w:rsidRDefault="00000000" w:rsidRPr="00000000" w14:paraId="0000009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Адаптировать окончательный проект в соответствии с комментариями властей.</w:t>
      </w:r>
    </w:p>
    <w:p w:rsidR="00000000" w:rsidDel="00000000" w:rsidP="00000000" w:rsidRDefault="00000000" w:rsidRPr="00000000" w14:paraId="000000A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Обновить план реализации проекта для суб-проекта. </w:t>
      </w:r>
    </w:p>
    <w:p w:rsidR="00000000" w:rsidDel="00000000" w:rsidP="00000000" w:rsidRDefault="00000000" w:rsidRPr="00000000" w14:paraId="000000A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Обновить смету проекта для суб-проекта. </w:t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Другие действия, необходимые для получения утверждений/разрешений властей и исполнения обязательств перед властями.</w:t>
      </w:r>
    </w:p>
    <w:p w:rsidR="00000000" w:rsidDel="00000000" w:rsidP="00000000" w:rsidRDefault="00000000" w:rsidRPr="00000000" w14:paraId="000000A3">
      <w:pPr>
        <w:pStyle w:val="Heading3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>
          <w:rFonts w:ascii="Calibri" w:cs="Calibri" w:eastAsia="Calibri" w:hAnsi="Calibri"/>
          <w:b w:val="0"/>
          <w:i w:val="1"/>
          <w:color w:val="022255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Подготовка тендерной документации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Поставщик услуг должен сделать следующее:</w:t>
      </w:r>
    </w:p>
    <w:p w:rsidR="00000000" w:rsidDel="00000000" w:rsidP="00000000" w:rsidRDefault="00000000" w:rsidRPr="00000000" w14:paraId="000000A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Составить/разработать все необходимые чертежи для книги учёта предложений (тендерной книги).</w:t>
      </w:r>
    </w:p>
    <w:p w:rsidR="00000000" w:rsidDel="00000000" w:rsidP="00000000" w:rsidRDefault="00000000" w:rsidRPr="00000000" w14:paraId="000000A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Обновить план реализации проекта.</w:t>
      </w:r>
    </w:p>
    <w:p w:rsidR="00000000" w:rsidDel="00000000" w:rsidP="00000000" w:rsidRDefault="00000000" w:rsidRPr="00000000" w14:paraId="000000A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Разработать документ по техническим характеристикам (каждый компонент ЭЭ мер должен быть описан во всех деталях, вкл. их технические характеристики и монтажные практики, т.п.).</w:t>
      </w:r>
    </w:p>
    <w:p w:rsidR="00000000" w:rsidDel="00000000" w:rsidP="00000000" w:rsidRDefault="00000000" w:rsidRPr="00000000" w14:paraId="000000A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Разработать перечень требуемых компонентов/услуг, а также их количества, в соответствии с юридическими требованиями («Ведомость объёмов работ»).</w:t>
      </w:r>
    </w:p>
    <w:p w:rsidR="00000000" w:rsidDel="00000000" w:rsidP="00000000" w:rsidRDefault="00000000" w:rsidRPr="00000000" w14:paraId="000000A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Разработать общие технические положения и условия (напр. условия ведения учёта, обязательства по доказательству и предупреждению, фактические замеры, т.п.).</w:t>
      </w:r>
    </w:p>
    <w:p w:rsidR="00000000" w:rsidDel="00000000" w:rsidP="00000000" w:rsidRDefault="00000000" w:rsidRPr="00000000" w14:paraId="000000A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Произвести расчет инвестиционных затрат в соответствии с требованиями Организатора тендера.</w:t>
      </w:r>
    </w:p>
    <w:p w:rsidR="00000000" w:rsidDel="00000000" w:rsidP="00000000" w:rsidRDefault="00000000" w:rsidRPr="00000000" w14:paraId="000000A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Подготовить прочую техническую документацию, требуемую Организатором тендера.</w:t>
      </w:r>
    </w:p>
    <w:p w:rsidR="00000000" w:rsidDel="00000000" w:rsidP="00000000" w:rsidRDefault="00000000" w:rsidRPr="00000000" w14:paraId="000000A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Предоставить поддержку муниципалитету во время проведения тендерной процедуры/подписания контракта со строительной компанией (по запросу).</w:t>
      </w:r>
    </w:p>
    <w:p w:rsidR="00000000" w:rsidDel="00000000" w:rsidP="00000000" w:rsidRDefault="00000000" w:rsidRPr="00000000" w14:paraId="000000AD">
      <w:pPr>
        <w:pStyle w:val="Heading3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>
          <w:rFonts w:ascii="Calibri" w:cs="Calibri" w:eastAsia="Calibri" w:hAnsi="Calibri"/>
          <w:b w:val="0"/>
          <w:i w:val="1"/>
          <w:color w:val="022255"/>
          <w:sz w:val="24"/>
          <w:szCs w:val="24"/>
        </w:rPr>
      </w:pPr>
      <w:r w:rsidDel="00000000" w:rsidR="00000000" w:rsidRPr="00000000">
        <w:rPr>
          <w:rtl w:val="0"/>
        </w:rPr>
        <w:t xml:space="preserve">Поддержка во время реализации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Поставщик услуг будет оказывать поддержку муниципалитету и делегированной им Команде проекта во время реализации суб-проекта. Пожалуйста, обратите внимание, что эта деятельность должна быть дополнением к деятельности по надзору за выполнением работ во время реализации проекта.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Поставщик услуг должен произвести следующие действия:</w:t>
      </w:r>
    </w:p>
    <w:p w:rsidR="00000000" w:rsidDel="00000000" w:rsidP="00000000" w:rsidRDefault="00000000" w:rsidRPr="00000000" w14:paraId="000000B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Поставщик услуг будет оказывать поддержку муниципалитету во время реализации проекта для обеспечения соответствия работ утвержденному проекту.</w:t>
      </w:r>
    </w:p>
    <w:p w:rsidR="00000000" w:rsidDel="00000000" w:rsidP="00000000" w:rsidRDefault="00000000" w:rsidRPr="00000000" w14:paraId="000000B1">
      <w:pPr>
        <w:pStyle w:val="Heading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" w:hanging="432"/>
        <w:contextualSpacing w:val="0"/>
        <w:rPr>
          <w:rFonts w:ascii="Calibri" w:cs="Calibri" w:eastAsia="Calibri" w:hAnsi="Calibri"/>
          <w:b w:val="0"/>
          <w:color w:val="022255"/>
          <w:sz w:val="36"/>
          <w:szCs w:val="36"/>
        </w:rPr>
      </w:pPr>
      <w:r w:rsidDel="00000000" w:rsidR="00000000" w:rsidRPr="00000000">
        <w:rPr>
          <w:rtl w:val="0"/>
        </w:rPr>
        <w:t xml:space="preserve">Отчётность/результаты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2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" w:hanging="576"/>
        <w:contextualSpacing w:val="0"/>
        <w:rPr>
          <w:rFonts w:ascii="Calibri" w:cs="Calibri" w:eastAsia="Calibri" w:hAnsi="Calibri"/>
          <w:b w:val="0"/>
          <w:color w:val="022255"/>
          <w:sz w:val="28"/>
          <w:szCs w:val="28"/>
        </w:rPr>
      </w:pPr>
      <w:r w:rsidDel="00000000" w:rsidR="00000000" w:rsidRPr="00000000">
        <w:rPr>
          <w:rtl w:val="0"/>
        </w:rPr>
        <w:t xml:space="preserve">Черновой окончательный 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Поставщик услуг отвечает за разработку и предоставление чернового окончательного проекта муниципалитету для утверждения. Должны быть предоставлены следующие документы:</w:t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Черновые окончательные технические чертежи для реализации проекта</w:t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Черновое окончательное описание проекта (вкл. технические характеристики ЭЭ мер)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План реализации проекта</w:t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Детальная смета по инвестиционным затратам для ЭЭ мер (точность оценки должна быть в пределах +/- 15% от фактических затрат).</w:t>
      </w:r>
    </w:p>
    <w:p w:rsidR="00000000" w:rsidDel="00000000" w:rsidP="00000000" w:rsidRDefault="00000000" w:rsidRPr="00000000" w14:paraId="000000B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Экспертные мнения, исследования, требующиеся для реализации проекта.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Все документы должны предоставляться на бумажном носителе и в электронном формате (pdf, acad, word, excel, т.п.).</w:t>
      </w:r>
    </w:p>
    <w:p w:rsidR="00000000" w:rsidDel="00000000" w:rsidP="00000000" w:rsidRDefault="00000000" w:rsidRPr="00000000" w14:paraId="000000BA">
      <w:pPr>
        <w:pStyle w:val="Heading2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" w:hanging="576"/>
        <w:contextualSpacing w:val="0"/>
        <w:rPr>
          <w:rFonts w:ascii="Calibri" w:cs="Calibri" w:eastAsia="Calibri" w:hAnsi="Calibri"/>
          <w:b w:val="0"/>
          <w:color w:val="022255"/>
          <w:sz w:val="28"/>
          <w:szCs w:val="28"/>
        </w:rPr>
      </w:pPr>
      <w:r w:rsidDel="00000000" w:rsidR="00000000" w:rsidRPr="00000000">
        <w:rPr>
          <w:rtl w:val="0"/>
        </w:rPr>
        <w:t xml:space="preserve">Документы для получения необходимых утверждений властей (разрешений)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Поставщик услуг отвечает за подготовку и предоставление всех требуемых документов для получения утверждений/разрешений властей на реализацию суб-проекта. Должны быть предоставлены следующие документы:</w:t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Описание проекта (вкл. технические характеристики ЭЭ мер).</w:t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Технические чертежи, требуемые для получения утверждений/разрешений властей.</w:t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Смета, в соответствии с требованиями властей.</w:t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Экспертные мнения, исследования, требующиеся для получения утверждений/разрешений властей.</w:t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Прочие документы, требуемые соответствующими органами для получения разрешений. 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Все документы должны предоставляться на бумажном носителе и в электронном формате (pdf, acad, word, excel, т.п.).</w:t>
      </w:r>
    </w:p>
    <w:p w:rsidR="00000000" w:rsidDel="00000000" w:rsidP="00000000" w:rsidRDefault="00000000" w:rsidRPr="00000000" w14:paraId="000000C2">
      <w:pPr>
        <w:pStyle w:val="Heading2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" w:hanging="576"/>
        <w:contextualSpacing w:val="0"/>
        <w:rPr>
          <w:rFonts w:ascii="Calibri" w:cs="Calibri" w:eastAsia="Calibri" w:hAnsi="Calibri"/>
          <w:b w:val="0"/>
          <w:color w:val="022255"/>
          <w:sz w:val="28"/>
          <w:szCs w:val="28"/>
        </w:rPr>
      </w:pPr>
      <w:r w:rsidDel="00000000" w:rsidR="00000000" w:rsidRPr="00000000">
        <w:rPr>
          <w:rtl w:val="0"/>
        </w:rPr>
        <w:t xml:space="preserve">Тендерная документация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Окончательные технические чертежи (утвержденные соответствующими органами), требующиеся для реализации проекта.</w:t>
      </w:r>
    </w:p>
    <w:p w:rsidR="00000000" w:rsidDel="00000000" w:rsidP="00000000" w:rsidRDefault="00000000" w:rsidRPr="00000000" w14:paraId="000000C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Документ по техническим характеристикам (каждый компонент ЭЭ мер должен быть описан во всех деталях, вкл. их технические характеристики и монтажные практики, т.п.).</w:t>
      </w:r>
    </w:p>
    <w:p w:rsidR="00000000" w:rsidDel="00000000" w:rsidP="00000000" w:rsidRDefault="00000000" w:rsidRPr="00000000" w14:paraId="000000C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Перечень компонентов и услуг («Ведомость объёмов работ»).</w:t>
      </w:r>
    </w:p>
    <w:p w:rsidR="00000000" w:rsidDel="00000000" w:rsidP="00000000" w:rsidRDefault="00000000" w:rsidRPr="00000000" w14:paraId="000000C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Детальный план реализации проекта.</w:t>
      </w:r>
    </w:p>
    <w:p w:rsidR="00000000" w:rsidDel="00000000" w:rsidP="00000000" w:rsidRDefault="00000000" w:rsidRPr="00000000" w14:paraId="000000C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Смета по инвестиционным затратам, в соответствии с требованиями Организатора тендера.</w:t>
      </w:r>
    </w:p>
    <w:p w:rsidR="00000000" w:rsidDel="00000000" w:rsidP="00000000" w:rsidRDefault="00000000" w:rsidRPr="00000000" w14:paraId="000000C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Общие технические положения и условия.</w:t>
      </w:r>
    </w:p>
    <w:p w:rsidR="00000000" w:rsidDel="00000000" w:rsidP="00000000" w:rsidRDefault="00000000" w:rsidRPr="00000000" w14:paraId="000000C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Прочие документы, требуемые Организатором тендера как часть тендерной документации.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00000"/>
          <w:highlight w:val="yellow"/>
        </w:rPr>
      </w:pPr>
      <w:r w:rsidDel="00000000" w:rsidR="00000000" w:rsidRPr="00000000">
        <w:rPr>
          <w:rtl w:val="0"/>
        </w:rPr>
        <w:t xml:space="preserve">Все документы должны предоставляться на бумажном носителе и в электронном формате (pdf, acad, word, excel, т.п.).</w:t>
      </w:r>
      <w:r w:rsidDel="00000000" w:rsidR="00000000" w:rsidRPr="00000000">
        <w:rPr>
          <w:color w:val="000000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Все документы должны быть предоставлены в соответствии с черновым графиком реализации  (см. Приложение).</w:t>
      </w:r>
    </w:p>
    <w:p w:rsidR="00000000" w:rsidDel="00000000" w:rsidP="00000000" w:rsidRDefault="00000000" w:rsidRPr="00000000" w14:paraId="000000CC">
      <w:pPr>
        <w:pStyle w:val="Heading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" w:hanging="432"/>
        <w:contextualSpacing w:val="0"/>
        <w:rPr>
          <w:rFonts w:ascii="Calibri" w:cs="Calibri" w:eastAsia="Calibri" w:hAnsi="Calibri"/>
          <w:b w:val="0"/>
          <w:color w:val="022255"/>
          <w:sz w:val="36"/>
          <w:szCs w:val="36"/>
        </w:rPr>
      </w:pPr>
      <w:r w:rsidDel="00000000" w:rsidR="00000000" w:rsidRPr="00000000">
        <w:rPr>
          <w:rtl w:val="0"/>
        </w:rPr>
        <w:t xml:space="preserve">Бюджет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Поставщик услуг получает вознаграждение за предоставление описанных выше услуг и документов в виде паушальной выплаты. Паушальная сумма включает все расходы, такие как применимые налоги, личные траты, дорожные расходы, страховки, социальные отчисления, т.п.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Паушальная сумма контракта: ______________________</w:t>
      </w:r>
    </w:p>
    <w:p w:rsidR="00000000" w:rsidDel="00000000" w:rsidP="00000000" w:rsidRDefault="00000000" w:rsidRPr="00000000" w14:paraId="000000CF">
      <w:pPr>
        <w:pStyle w:val="Heading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" w:hanging="432"/>
        <w:contextualSpacing w:val="0"/>
        <w:rPr>
          <w:rFonts w:ascii="Calibri" w:cs="Calibri" w:eastAsia="Calibri" w:hAnsi="Calibri"/>
          <w:b w:val="0"/>
          <w:color w:val="022255"/>
          <w:sz w:val="36"/>
          <w:szCs w:val="36"/>
        </w:rPr>
      </w:pPr>
      <w:r w:rsidDel="00000000" w:rsidR="00000000" w:rsidRPr="00000000">
        <w:rPr>
          <w:rtl w:val="0"/>
        </w:rPr>
        <w:t xml:space="preserve">Условия оплаты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Выполнение задания должно начинаться сразу после подписания контракта на оказание услуг (=дата начала) в сроки, указанные в контракте. 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Оплата будет производиться в три фазы на основании поданных отчётов и акта приёмки услуг.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Первая проплата в размере 25% от общей суммы контракта будет произведена после утверждения чернового окончательного технического проекта муниципалитетом, в течение 10 рабочих дней.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Вторая проплата в размере 50% от общей суммы контракта будет произведена после получения муниципалитетом всех необходимых утверждений и разрешений властей, в течение 10 рабочих дней.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Третья проплата в размере 25% от общей суммы контракта будет произведена после приемки тендерной документации Организатором тендера, в течение 10 рабочих дней.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В случае нарушения сроков выполнения услуг, указанных в контракте, муниципалитет налагает штраф в размере 0,05% от общей суммы контракта за каждый день просрочки. Штраф лимитирован суммой в 10% от общей суммы контракта.</w:t>
      </w:r>
    </w:p>
    <w:p w:rsidR="00000000" w:rsidDel="00000000" w:rsidP="00000000" w:rsidRDefault="00000000" w:rsidRPr="00000000" w14:paraId="000000D6">
      <w:pPr>
        <w:pStyle w:val="Heading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" w:hanging="432"/>
        <w:contextualSpacing w:val="0"/>
        <w:rPr>
          <w:rFonts w:ascii="Calibri" w:cs="Calibri" w:eastAsia="Calibri" w:hAnsi="Calibri"/>
          <w:b w:val="0"/>
          <w:color w:val="022255"/>
          <w:sz w:val="36"/>
          <w:szCs w:val="36"/>
        </w:rPr>
      </w:pPr>
      <w:r w:rsidDel="00000000" w:rsidR="00000000" w:rsidRPr="00000000">
        <w:rPr>
          <w:rtl w:val="0"/>
        </w:rPr>
        <w:t xml:space="preserve">Требования к Поставщику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Поставщик услуг должен иметь надлежащую квалификацию для выполнения работ и услуг, описанных выше. В частности, ему надо отвечать следующим требованиям:</w:t>
      </w:r>
    </w:p>
    <w:p w:rsidR="00000000" w:rsidDel="00000000" w:rsidP="00000000" w:rsidRDefault="00000000" w:rsidRPr="00000000" w14:paraId="000000D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Поставщик услуг должен иметь опыт разработки технического проекта для минимум трех аналогичных проектов за последние 5 лет.</w:t>
      </w:r>
    </w:p>
    <w:p w:rsidR="00000000" w:rsidDel="00000000" w:rsidP="00000000" w:rsidRDefault="00000000" w:rsidRPr="00000000" w14:paraId="000000D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Страхование  услуг и работ, предоставляемых Поставщиком услуг.</w:t>
      </w:r>
    </w:p>
    <w:p w:rsidR="00000000" w:rsidDel="00000000" w:rsidP="00000000" w:rsidRDefault="00000000" w:rsidRPr="00000000" w14:paraId="000000D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Поставщик услуг должен соответствовать всем правовым требованиям и должен иметь все сертификаты на предоставление запрошенных услуг и работ (также см. часть «Субподрядные отношения»).</w:t>
      </w:r>
    </w:p>
    <w:p w:rsidR="00000000" w:rsidDel="00000000" w:rsidP="00000000" w:rsidRDefault="00000000" w:rsidRPr="00000000" w14:paraId="000000D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Доскональное знание проектирования в соответствующей сфере.</w:t>
      </w:r>
    </w:p>
    <w:p w:rsidR="00000000" w:rsidDel="00000000" w:rsidP="00000000" w:rsidRDefault="00000000" w:rsidRPr="00000000" w14:paraId="000000D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Знание западноевропейских стандартов, норм и передовых доступных технологий в соответствующей сфере суб-проекта. Способность применять эти стандарты, нормы и практики в техническом проектировании суб-проекта.</w:t>
      </w:r>
    </w:p>
    <w:p w:rsidR="00000000" w:rsidDel="00000000" w:rsidP="00000000" w:rsidRDefault="00000000" w:rsidRPr="00000000" w14:paraId="000000D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Способность производить высококачественную документацию, при необходимости – также и на английском языке.</w:t>
      </w:r>
    </w:p>
    <w:p w:rsidR="00000000" w:rsidDel="00000000" w:rsidP="00000000" w:rsidRDefault="00000000" w:rsidRPr="00000000" w14:paraId="000000D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Опыт в предоставлении консультационных услуг и опыт работы с проектами с донорским финансированием.</w:t>
      </w:r>
    </w:p>
    <w:p w:rsidR="00000000" w:rsidDel="00000000" w:rsidP="00000000" w:rsidRDefault="00000000" w:rsidRPr="00000000" w14:paraId="000000DF">
      <w:pPr>
        <w:pStyle w:val="Heading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" w:hanging="432"/>
        <w:contextualSpacing w:val="0"/>
        <w:rPr>
          <w:rFonts w:ascii="Calibri" w:cs="Calibri" w:eastAsia="Calibri" w:hAnsi="Calibri"/>
          <w:b w:val="0"/>
          <w:color w:val="022255"/>
          <w:sz w:val="36"/>
          <w:szCs w:val="36"/>
        </w:rPr>
      </w:pPr>
      <w:r w:rsidDel="00000000" w:rsidR="00000000" w:rsidRPr="00000000">
        <w:rPr>
          <w:rtl w:val="0"/>
        </w:rPr>
        <w:t xml:space="preserve">Субподрядные отношения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Поставщик услуг обязан продемонстрировать все необходимые документы  и сертификаты, подтверждающие компетентность в проектировании, требующиеся для предоставления услуг и работ по этому контракту. 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Если Поставщик услуг не имеет всех необходимых сертификатов или документов, подтверждающих его компетентность в проектировании, он имеет право нанять субподрядчиком другие компании-проектировщики, которые смогут предоставить недостающие документы/сертификаты. Поставщик услуг обязан заявить про субподрядчика и предоставляемые им услуги до подписания этого контракта. Муниципалитет имеет право отказаться от предложенного субподрядчика.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firstLine="0"/>
        <w:contextualSpacing w:val="0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Поставщик услуг остаётся единолично ответственным за выполнение работ и услуг по этому контракту.</w:t>
      </w:r>
    </w:p>
    <w:p w:rsidR="00000000" w:rsidDel="00000000" w:rsidP="00000000" w:rsidRDefault="00000000" w:rsidRPr="00000000" w14:paraId="000000E3">
      <w:pPr>
        <w:pStyle w:val="Heading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" w:hanging="432"/>
        <w:contextualSpacing w:val="0"/>
        <w:rPr>
          <w:rFonts w:ascii="Calibri" w:cs="Calibri" w:eastAsia="Calibri" w:hAnsi="Calibri"/>
          <w:b w:val="0"/>
          <w:color w:val="022255"/>
          <w:sz w:val="36"/>
          <w:szCs w:val="36"/>
        </w:rPr>
      </w:pPr>
      <w:r w:rsidDel="00000000" w:rsidR="00000000" w:rsidRPr="00000000">
        <w:rPr>
          <w:rtl w:val="0"/>
        </w:rPr>
        <w:t xml:space="preserve">Конфиденциальность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Поставщик услуг и его субподрядчики обязуются сохранять любую полученную о проекте и ТЗ информацию старого конфиденциальной и не передавать её третьим лицам, кроме случаев, предписанных законом. Этот пункт сохраняет своё действие и после окончания контракта.</w:t>
      </w:r>
    </w:p>
    <w:p w:rsidR="00000000" w:rsidDel="00000000" w:rsidP="00000000" w:rsidRDefault="00000000" w:rsidRPr="00000000" w14:paraId="000000E5">
      <w:pPr>
        <w:pStyle w:val="Heading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" w:hanging="432"/>
        <w:contextualSpacing w:val="0"/>
        <w:rPr>
          <w:rFonts w:ascii="Calibri" w:cs="Calibri" w:eastAsia="Calibri" w:hAnsi="Calibri"/>
          <w:b w:val="0"/>
          <w:color w:val="022255"/>
          <w:sz w:val="36"/>
          <w:szCs w:val="36"/>
        </w:rPr>
      </w:pPr>
      <w:r w:rsidDel="00000000" w:rsidR="00000000" w:rsidRPr="00000000">
        <w:rPr>
          <w:rtl w:val="0"/>
        </w:rPr>
        <w:t xml:space="preserve">Контактные данные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Контактное лицо в муниципалитете: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Имя: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Мобильный телефон: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Электронная почта: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Контактное лицо у Поставщика услуг: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Имя: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Мобильный телефон: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Электронная почта:</w:t>
      </w:r>
    </w:p>
    <w:p w:rsidR="00000000" w:rsidDel="00000000" w:rsidP="00000000" w:rsidRDefault="00000000" w:rsidRPr="00000000" w14:paraId="000000EF">
      <w:pPr>
        <w:pStyle w:val="Heading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" w:hanging="432"/>
        <w:contextualSpacing w:val="0"/>
        <w:rPr>
          <w:rFonts w:ascii="Calibri" w:cs="Calibri" w:eastAsia="Calibri" w:hAnsi="Calibri"/>
          <w:b w:val="0"/>
          <w:color w:val="022255"/>
          <w:sz w:val="36"/>
          <w:szCs w:val="36"/>
        </w:rPr>
      </w:pPr>
      <w:r w:rsidDel="00000000" w:rsidR="00000000" w:rsidRPr="00000000">
        <w:rPr>
          <w:rtl w:val="0"/>
        </w:rPr>
        <w:t xml:space="preserve">Приложения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Отчёты по энергоаудитам</w:t>
      </w:r>
    </w:p>
    <w:p w:rsidR="00000000" w:rsidDel="00000000" w:rsidP="00000000" w:rsidRDefault="00000000" w:rsidRPr="00000000" w14:paraId="000000F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Черновой график реализации</w:t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Техническое руководство по разработке окончательного проекта 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firstLine="0"/>
        <w:contextualSpacing w:val="0"/>
        <w:jc w:val="both"/>
        <w:rPr>
          <w:rFonts w:ascii="Calibri" w:cs="Calibri" w:eastAsia="Calibri" w:hAnsi="Calibri"/>
          <w:b w:val="0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6840" w:w="11900"/>
      <w:pgMar w:bottom="1701" w:top="2155" w:left="1361" w:right="1361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9" w:before="0" w:line="276" w:lineRule="auto"/>
      <w:contextualSpacing w:val="0"/>
      <w:jc w:val="both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mc:AlternateContent>
        <mc:Choice Requires="wpg">
          <w:drawing>
            <wp:inline distB="0" distT="0" distL="114300" distR="114300">
              <wp:extent cx="1371600" cy="838200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56708" y="3355503"/>
                        <a:ext cx="1371600" cy="838200"/>
                        <a:chOff x="4656708" y="3355503"/>
                        <a:chExt cx="1378585" cy="848994"/>
                      </a:xfrm>
                    </wpg:grpSpPr>
                    <wpg:grpSp>
                      <wpg:cNvGrpSpPr/>
                      <wpg:grpSpPr>
                        <a:xfrm>
                          <a:off x="4656708" y="3355503"/>
                          <a:ext cx="1378585" cy="848994"/>
                          <a:chOff x="-1" y="0"/>
                          <a:chExt cx="1378585" cy="848994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-1" y="0"/>
                            <a:ext cx="1378575" cy="84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406400" y="0"/>
                            <a:ext cx="431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-1" y="323849"/>
                            <a:ext cx="137858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ЭТОТ ПРОЕКТ ФИНАНСИРУЕТСЯ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2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ЕВРОПЕЙСКИМ СОЮЗОМ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1371600" cy="838200"/>
              <wp:effectExtent b="0" l="0" r="0" t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8382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709" w:line="276" w:lineRule="auto"/>
      <w:contextualSpacing w:val="0"/>
      <w:jc w:val="both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posOffset>-749299</wp:posOffset>
              </wp:positionH>
              <wp:positionV relativeFrom="paragraph">
                <wp:posOffset>-215899</wp:posOffset>
              </wp:positionV>
              <wp:extent cx="6591300" cy="10414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47810" y="3255808"/>
                        <a:ext cx="6591300" cy="1041400"/>
                        <a:chOff x="2047810" y="3255808"/>
                        <a:chExt cx="6596380" cy="1048385"/>
                      </a:xfrm>
                    </wpg:grpSpPr>
                    <wpg:grpSp>
                      <wpg:cNvGrpSpPr/>
                      <wpg:grpSpPr>
                        <a:xfrm>
                          <a:off x="2047810" y="3255808"/>
                          <a:ext cx="6596380" cy="1048385"/>
                          <a:chOff x="0" y="0"/>
                          <a:chExt cx="6596380" cy="1048385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6596375" cy="104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5080" y="0"/>
                            <a:ext cx="130302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4502150" y="247015"/>
                            <a:ext cx="209423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0" y="1029335"/>
                            <a:ext cx="6551930" cy="1905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>
                                <a:alpha val="80000"/>
                              </a:schemeClr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-749299</wp:posOffset>
              </wp:positionH>
              <wp:positionV relativeFrom="paragraph">
                <wp:posOffset>-215899</wp:posOffset>
              </wp:positionV>
              <wp:extent cx="6591300" cy="1041400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91300" cy="1041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88" w:lineRule="auto"/>
      <w:ind w:left="432" w:hanging="432"/>
      <w:contextualSpacing w:val="0"/>
      <w:jc w:val="both"/>
    </w:pPr>
    <w:rPr>
      <w:rFonts w:ascii="Calibri" w:cs="Calibri" w:eastAsia="Calibri" w:hAnsi="Calibri"/>
      <w:b w:val="0"/>
      <w:color w:val="02225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64" w:lineRule="auto"/>
      <w:ind w:left="576" w:hanging="576"/>
      <w:contextualSpacing w:val="0"/>
      <w:jc w:val="both"/>
    </w:pPr>
    <w:rPr>
      <w:rFonts w:ascii="Calibri" w:cs="Calibri" w:eastAsia="Calibri" w:hAnsi="Calibri"/>
      <w:b w:val="0"/>
      <w:color w:val="02225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1" w:lineRule="auto"/>
      <w:ind w:left="720" w:hanging="720"/>
      <w:contextualSpacing w:val="0"/>
      <w:jc w:val="both"/>
    </w:pPr>
    <w:rPr>
      <w:rFonts w:ascii="Calibri" w:cs="Calibri" w:eastAsia="Calibri" w:hAnsi="Calibri"/>
      <w:b w:val="0"/>
      <w:i w:val="1"/>
      <w:color w:val="022255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71" w:lineRule="auto"/>
      <w:ind w:left="864" w:hanging="864"/>
      <w:contextualSpacing w:val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71" w:lineRule="auto"/>
      <w:ind w:left="1008" w:hanging="1008"/>
      <w:contextualSpacing w:val="0"/>
      <w:jc w:val="both"/>
    </w:pPr>
    <w:rPr>
      <w:rFonts w:ascii="Calibri" w:cs="Calibri" w:eastAsia="Calibri" w:hAnsi="Calibri"/>
      <w:b w:val="0"/>
      <w:i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71" w:lineRule="auto"/>
      <w:ind w:left="1152" w:hanging="1152"/>
      <w:contextualSpacing w:val="0"/>
      <w:jc w:val="both"/>
    </w:pPr>
    <w:rPr>
      <w:rFonts w:ascii="Calibri" w:cs="Calibri" w:eastAsia="Calibri" w:hAnsi="Calibri"/>
      <w:b w:val="1"/>
      <w:color w:val="595959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  <w:contextualSpacing w:val="0"/>
      <w:jc w:val="both"/>
    </w:pPr>
    <w:rPr>
      <w:rFonts w:ascii="Calibri" w:cs="Calibri" w:eastAsia="Calibri" w:hAnsi="Calibri"/>
      <w:b w:val="1"/>
      <w:color w:val="022255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120" w:before="0" w:line="276" w:lineRule="auto"/>
      <w:contextualSpacing w:val="0"/>
      <w:jc w:val="both"/>
    </w:pPr>
    <w:rPr>
      <w:rFonts w:ascii="Calibri" w:cs="Calibri" w:eastAsia="Calibri" w:hAnsi="Calibri"/>
      <w:b w:val="1"/>
      <w:i w:val="1"/>
      <w:color w:val="022255"/>
      <w:sz w:val="32"/>
      <w:szCs w:val="32"/>
    </w:rPr>
  </w:style>
  <w:style w:type="table" w:styleId="Table1">
    <w:basedOn w:val="TableNormal"/>
    <w:pPr>
      <w:spacing w:after="0" w:line="240" w:lineRule="auto"/>
      <w:contextualSpacing w:val="0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NovaMono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